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B" w:rsidRDefault="00AB5A74">
      <w:r w:rsidRPr="00AB5A74">
        <w:drawing>
          <wp:inline distT="0" distB="0" distL="0" distR="0">
            <wp:extent cx="9610725" cy="5915025"/>
            <wp:effectExtent l="19050" t="0" r="9525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A4A2B" w:rsidSect="00AB5A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AB5A74"/>
    <w:rsid w:val="003937C4"/>
    <w:rsid w:val="005A4A2B"/>
    <w:rsid w:val="00AB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A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Y:\td\doc\bendra\soc.pedagogas\soc-pasas-palyginamoji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title>
      <c:tx>
        <c:rich>
          <a:bodyPr/>
          <a:lstStyle/>
          <a:p>
            <a:pPr>
              <a:defRPr/>
            </a:pPr>
            <a:r>
              <a:rPr lang="lt-LT"/>
              <a:t>Mažeikių r. Tirkšlių darželio "Giliukas" šeimos socialinio paso </a:t>
            </a:r>
            <a:r>
              <a:rPr lang="en-US"/>
              <a:t>2016/2017m.m.</a:t>
            </a:r>
            <a:r>
              <a:rPr lang="lt-LT"/>
              <a:t> lyginamoji diagrama</a:t>
            </a: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tx>
            <c:v>2016</c:v>
          </c:tx>
          <c:cat>
            <c:multiLvlStrRef>
              <c:f>Lapas1!$B$3:$C$22</c:f>
              <c:multiLvlStrCache>
                <c:ptCount val="20"/>
                <c:lvl>
                  <c:pt idx="0">
                    <c:v>Vaikai, kurių tėvai susiduria su materialiniu nepritekliumi</c:v>
                  </c:pt>
                  <c:pt idx="1">
                    <c:v>Vaikai turintys specialiųjų poreikių ar kitų fizinės negalės sutrikimų (pvz. klausos/regos)</c:v>
                  </c:pt>
                  <c:pt idx="2">
                    <c:v>Vaikai, kurių tėvai yra išsiskyrę</c:v>
                  </c:pt>
                  <c:pt idx="3">
                    <c:v>Vaikai, likę be tėvų priežiūros (įvaikinti, globojami)</c:v>
                  </c:pt>
                  <c:pt idx="4">
                    <c:v>Delinkventinio elgesio vaikai (linkusieji pažeisti darželio, visuomenės taisykles) </c:v>
                  </c:pt>
                  <c:pt idx="5">
                    <c:v>Vaikai, rekomenduojami tyrimui Pedagoginėje psichologinėje tarnyboje</c:v>
                  </c:pt>
                  <c:pt idx="6">
                    <c:v>Vaikai, kurie gyvena ir yra auklėjami vien tik senelių</c:v>
                  </c:pt>
                  <c:pt idx="7">
                    <c:v>Vaikai, kurių vienas ar abu tėvai yra išvykę ir dirba užsienyje</c:v>
                  </c:pt>
                  <c:pt idx="8">
                    <c:v>Vaikai, kurių vienas arba abu tėvai yra mirę</c:v>
                  </c:pt>
                  <c:pt idx="9">
                    <c:v>Vaikai turintys mokymosi sunkumų</c:v>
                  </c:pt>
                  <c:pt idx="10">
                    <c:v>Ypač gabūs vaikai kuriai nors veiklai</c:v>
                  </c:pt>
                  <c:pt idx="11">
                    <c:v>Vaikai, turintys kalbos sutrikimų</c:v>
                  </c:pt>
                  <c:pt idx="12">
                    <c:v>Vaikai, turintys bendravimo sunkumų</c:v>
                  </c:pt>
                  <c:pt idx="13">
                    <c:v>Vaikai, kurie neturi susiformavusių būtinų socialinių įgūdžių (kaip mandagiai sveikintis, paprašyti, pasiklausti, bendrauti)</c:v>
                  </c:pt>
                  <c:pt idx="14">
                    <c:v>Vaikai, kurie mokosi pagal adaptuotą ugdymosi programą </c:v>
                  </c:pt>
                  <c:pt idx="15">
                    <c:v>Vaikai, kurių silpna mokymosi motyvacija</c:v>
                  </c:pt>
                  <c:pt idx="16">
                    <c:v>Vaikai, kurie retai lanko darželį ( be pateisinamos priežasties) </c:v>
                  </c:pt>
                  <c:pt idx="17">
                    <c:v>Vaikai, kurie daug serga (kai pristatoma gydytojų pažyma)</c:v>
                  </c:pt>
                  <c:pt idx="18">
                    <c:v>Vaikai, kurie susiduria su dar nepaminėtais sunkumais</c:v>
                  </c:pt>
                  <c:pt idx="19">
                    <c:v> Naujokai grupėje</c:v>
                  </c:pt>
                </c:lvl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13.</c:v>
                  </c:pt>
                  <c:pt idx="13">
                    <c:v>14.</c:v>
                  </c:pt>
                  <c:pt idx="14">
                    <c:v>15.</c:v>
                  </c:pt>
                  <c:pt idx="15">
                    <c:v>16.</c:v>
                  </c:pt>
                  <c:pt idx="16">
                    <c:v>17.</c:v>
                  </c:pt>
                  <c:pt idx="17">
                    <c:v>18.</c:v>
                  </c:pt>
                  <c:pt idx="18">
                    <c:v>19.</c:v>
                  </c:pt>
                  <c:pt idx="19">
                    <c:v>20.</c:v>
                  </c:pt>
                </c:lvl>
              </c:multiLvlStrCache>
            </c:multiLvlStrRef>
          </c:cat>
          <c:val>
            <c:numRef>
              <c:f>Lapas1!$D$3:$D$22</c:f>
              <c:numCache>
                <c:formatCode>General</c:formatCode>
                <c:ptCount val="20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5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9</c:v>
                </c:pt>
                <c:pt idx="10">
                  <c:v>5</c:v>
                </c:pt>
                <c:pt idx="11">
                  <c:v>15</c:v>
                </c:pt>
                <c:pt idx="12">
                  <c:v>10</c:v>
                </c:pt>
                <c:pt idx="13">
                  <c:v>3</c:v>
                </c:pt>
                <c:pt idx="14">
                  <c:v>0</c:v>
                </c:pt>
                <c:pt idx="15">
                  <c:v>3</c:v>
                </c:pt>
                <c:pt idx="16">
                  <c:v>1</c:v>
                </c:pt>
                <c:pt idx="17">
                  <c:v>23</c:v>
                </c:pt>
                <c:pt idx="18">
                  <c:v>17</c:v>
                </c:pt>
                <c:pt idx="19">
                  <c:v>8</c:v>
                </c:pt>
              </c:numCache>
            </c:numRef>
          </c:val>
        </c:ser>
        <c:ser>
          <c:idx val="1"/>
          <c:order val="1"/>
          <c:tx>
            <c:v>2017</c:v>
          </c:tx>
          <c:cat>
            <c:multiLvlStrRef>
              <c:f>Lapas1!$B$3:$C$22</c:f>
              <c:multiLvlStrCache>
                <c:ptCount val="20"/>
                <c:lvl>
                  <c:pt idx="0">
                    <c:v>Vaikai, kurių tėvai susiduria su materialiniu nepritekliumi</c:v>
                  </c:pt>
                  <c:pt idx="1">
                    <c:v>Vaikai turintys specialiųjų poreikių ar kitų fizinės negalės sutrikimų (pvz. klausos/regos)</c:v>
                  </c:pt>
                  <c:pt idx="2">
                    <c:v>Vaikai, kurių tėvai yra išsiskyrę</c:v>
                  </c:pt>
                  <c:pt idx="3">
                    <c:v>Vaikai, likę be tėvų priežiūros (įvaikinti, globojami)</c:v>
                  </c:pt>
                  <c:pt idx="4">
                    <c:v>Delinkventinio elgesio vaikai (linkusieji pažeisti darželio, visuomenės taisykles) </c:v>
                  </c:pt>
                  <c:pt idx="5">
                    <c:v>Vaikai, rekomenduojami tyrimui Pedagoginėje psichologinėje tarnyboje</c:v>
                  </c:pt>
                  <c:pt idx="6">
                    <c:v>Vaikai, kurie gyvena ir yra auklėjami vien tik senelių</c:v>
                  </c:pt>
                  <c:pt idx="7">
                    <c:v>Vaikai, kurių vienas ar abu tėvai yra išvykę ir dirba užsienyje</c:v>
                  </c:pt>
                  <c:pt idx="8">
                    <c:v>Vaikai, kurių vienas arba abu tėvai yra mirę</c:v>
                  </c:pt>
                  <c:pt idx="9">
                    <c:v>Vaikai turintys mokymosi sunkumų</c:v>
                  </c:pt>
                  <c:pt idx="10">
                    <c:v>Ypač gabūs vaikai kuriai nors veiklai</c:v>
                  </c:pt>
                  <c:pt idx="11">
                    <c:v>Vaikai, turintys kalbos sutrikimų</c:v>
                  </c:pt>
                  <c:pt idx="12">
                    <c:v>Vaikai, turintys bendravimo sunkumų</c:v>
                  </c:pt>
                  <c:pt idx="13">
                    <c:v>Vaikai, kurie neturi susiformavusių būtinų socialinių įgūdžių (kaip mandagiai sveikintis, paprašyti, pasiklausti, bendrauti)</c:v>
                  </c:pt>
                  <c:pt idx="14">
                    <c:v>Vaikai, kurie mokosi pagal adaptuotą ugdymosi programą </c:v>
                  </c:pt>
                  <c:pt idx="15">
                    <c:v>Vaikai, kurių silpna mokymosi motyvacija</c:v>
                  </c:pt>
                  <c:pt idx="16">
                    <c:v>Vaikai, kurie retai lanko darželį ( be pateisinamos priežasties) </c:v>
                  </c:pt>
                  <c:pt idx="17">
                    <c:v>Vaikai, kurie daug serga (kai pristatoma gydytojų pažyma)</c:v>
                  </c:pt>
                  <c:pt idx="18">
                    <c:v>Vaikai, kurie susiduria su dar nepaminėtais sunkumais</c:v>
                  </c:pt>
                  <c:pt idx="19">
                    <c:v> Naujokai grupėje</c:v>
                  </c:pt>
                </c:lvl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13.</c:v>
                  </c:pt>
                  <c:pt idx="13">
                    <c:v>14.</c:v>
                  </c:pt>
                  <c:pt idx="14">
                    <c:v>15.</c:v>
                  </c:pt>
                  <c:pt idx="15">
                    <c:v>16.</c:v>
                  </c:pt>
                  <c:pt idx="16">
                    <c:v>17.</c:v>
                  </c:pt>
                  <c:pt idx="17">
                    <c:v>18.</c:v>
                  </c:pt>
                  <c:pt idx="18">
                    <c:v>19.</c:v>
                  </c:pt>
                  <c:pt idx="19">
                    <c:v>20.</c:v>
                  </c:pt>
                </c:lvl>
              </c:multiLvlStrCache>
            </c:multiLvlStrRef>
          </c:cat>
          <c:val>
            <c:numRef>
              <c:f>Lapas1!$E$3:$E$22</c:f>
              <c:numCache>
                <c:formatCode>General</c:formatCode>
                <c:ptCount val="20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30</c:v>
                </c:pt>
                <c:pt idx="8">
                  <c:v>0</c:v>
                </c:pt>
                <c:pt idx="9">
                  <c:v>7</c:v>
                </c:pt>
                <c:pt idx="10">
                  <c:v>0</c:v>
                </c:pt>
                <c:pt idx="11">
                  <c:v>13</c:v>
                </c:pt>
                <c:pt idx="12">
                  <c:v>3</c:v>
                </c:pt>
                <c:pt idx="13">
                  <c:v>0</c:v>
                </c:pt>
                <c:pt idx="14">
                  <c:v>0</c:v>
                </c:pt>
                <c:pt idx="15">
                  <c:v>9</c:v>
                </c:pt>
                <c:pt idx="16">
                  <c:v>0</c:v>
                </c:pt>
                <c:pt idx="17">
                  <c:v>9</c:v>
                </c:pt>
                <c:pt idx="18">
                  <c:v>0</c:v>
                </c:pt>
                <c:pt idx="19">
                  <c:v>22</c:v>
                </c:pt>
              </c:numCache>
            </c:numRef>
          </c:val>
        </c:ser>
        <c:marker val="1"/>
        <c:axId val="86221568"/>
        <c:axId val="86236544"/>
      </c:lineChart>
      <c:catAx>
        <c:axId val="86221568"/>
        <c:scaling>
          <c:orientation val="minMax"/>
        </c:scaling>
        <c:axPos val="b"/>
        <c:majorTickMark val="none"/>
        <c:tickLblPos val="nextTo"/>
        <c:crossAx val="86236544"/>
        <c:crosses val="autoZero"/>
        <c:auto val="1"/>
        <c:lblAlgn val="ctr"/>
        <c:lblOffset val="100"/>
      </c:catAx>
      <c:valAx>
        <c:axId val="86236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2215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Norvaišienė</dc:creator>
  <cp:lastModifiedBy>Laima Norvaišienė</cp:lastModifiedBy>
  <cp:revision>1</cp:revision>
  <dcterms:created xsi:type="dcterms:W3CDTF">2017-11-20T07:57:00Z</dcterms:created>
  <dcterms:modified xsi:type="dcterms:W3CDTF">2017-11-20T11:15:00Z</dcterms:modified>
</cp:coreProperties>
</file>